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5C" w:rsidRDefault="009852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D64E5C" w:rsidRDefault="009852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ХЕРСОНСЬКИЙ ДЕРЖАВНИЙ УНІВЕРСИТЕТ</w:t>
      </w:r>
    </w:p>
    <w:p w:rsidR="00D64E5C" w:rsidRDefault="009852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ФАКУЛЬТЕТ КОМП’ЮТЕРНИХ НАУК, ФІЗИКИ ТА МАТЕМАТИКИ</w:t>
      </w:r>
    </w:p>
    <w:p w:rsidR="00D64E5C" w:rsidRDefault="009852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ФІЗИКИ ТА МЕТОДИКИ ЇЇ НАВЧАННЯ</w:t>
      </w:r>
    </w:p>
    <w:tbl>
      <w:tblPr>
        <w:tblStyle w:val="ab"/>
        <w:tblW w:w="96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39"/>
        <w:gridCol w:w="4840"/>
      </w:tblGrid>
      <w:tr w:rsidR="00D64E5C">
        <w:trPr>
          <w:trHeight w:val="1723"/>
        </w:trPr>
        <w:tc>
          <w:tcPr>
            <w:tcW w:w="4839" w:type="dxa"/>
          </w:tcPr>
          <w:p w:rsidR="00D64E5C" w:rsidRDefault="00D64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</w:tcPr>
          <w:p w:rsidR="00D64E5C" w:rsidRDefault="00985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ЗАТВЕРДЖЕНО</w:t>
            </w:r>
          </w:p>
          <w:p w:rsidR="00D64E5C" w:rsidRDefault="00985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засіданні кафедри ….…</w:t>
            </w:r>
          </w:p>
          <w:p w:rsidR="00D64E5C" w:rsidRDefault="00680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07.09.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р.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8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4E5C" w:rsidRDefault="00985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 кафедри</w:t>
            </w:r>
          </w:p>
          <w:p w:rsidR="00D64E5C" w:rsidRDefault="00985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D64E5C" w:rsidRDefault="00985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 (доц.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Гончаренко)</w:t>
            </w:r>
          </w:p>
        </w:tc>
      </w:tr>
    </w:tbl>
    <w:p w:rsidR="00D64E5C" w:rsidRDefault="00D64E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E5C" w:rsidRDefault="00D64E5C">
      <w:pPr>
        <w:jc w:val="center"/>
      </w:pPr>
    </w:p>
    <w:p w:rsidR="00D64E5C" w:rsidRDefault="009852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ОСВІТНЬОЇ КОМПОНЕНТИ</w:t>
      </w:r>
    </w:p>
    <w:p w:rsidR="00D64E5C" w:rsidRDefault="009852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ЕЛЕКТРОНІКА </w:t>
      </w:r>
    </w:p>
    <w:p w:rsidR="00D64E5C" w:rsidRDefault="00D64E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4E5C" w:rsidRDefault="00D64E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0B35" w:rsidRDefault="00985208" w:rsidP="00680B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Середня освіта (фізика) першого (бакалаврського) рівня</w:t>
      </w:r>
    </w:p>
    <w:p w:rsidR="00680B35" w:rsidRPr="00680B35" w:rsidRDefault="00680B35" w:rsidP="00680B35">
      <w:pPr>
        <w:rPr>
          <w:rFonts w:ascii="Times New Roman" w:eastAsia="Times New Roman" w:hAnsi="Times New Roman" w:cs="Times New Roman"/>
          <w:sz w:val="28"/>
          <w:szCs w:val="28"/>
        </w:rPr>
      </w:pPr>
      <w:r w:rsidRPr="001339EE">
        <w:rPr>
          <w:rFonts w:ascii="Times New Roman" w:hAnsi="Times New Roman"/>
          <w:bCs/>
          <w:sz w:val="28"/>
          <w:szCs w:val="28"/>
        </w:rPr>
        <w:t>Спеціальність:  014.08 Середня освіта (фізика)</w:t>
      </w:r>
    </w:p>
    <w:p w:rsidR="00D64E5C" w:rsidRDefault="0098520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знань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0402. Фізико-математичні науки</w:t>
      </w:r>
    </w:p>
    <w:p w:rsidR="00D64E5C" w:rsidRDefault="00D64E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4E5C" w:rsidRDefault="00D64E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4E5C" w:rsidRDefault="00D64E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4E5C" w:rsidRDefault="00D64E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E5C" w:rsidRDefault="00D64E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E5C" w:rsidRDefault="00D64E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E5C" w:rsidRDefault="00D64E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E5C" w:rsidRDefault="00D64E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E5C" w:rsidRDefault="009852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Херсон 2020</w:t>
      </w:r>
    </w:p>
    <w:p w:rsidR="00D64E5C" w:rsidRDefault="00985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64E5C" w:rsidRDefault="009852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Опис курсу</w:t>
      </w:r>
    </w:p>
    <w:tbl>
      <w:tblPr>
        <w:tblStyle w:val="ac"/>
        <w:tblW w:w="96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8081"/>
      </w:tblGrid>
      <w:tr w:rsidR="00D64E5C">
        <w:tc>
          <w:tcPr>
            <w:tcW w:w="1598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освітньої компоненти</w:t>
            </w:r>
          </w:p>
        </w:tc>
        <w:tc>
          <w:tcPr>
            <w:tcW w:w="8081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Електроніка</w:t>
            </w:r>
          </w:p>
        </w:tc>
      </w:tr>
      <w:tr w:rsidR="00D64E5C">
        <w:tc>
          <w:tcPr>
            <w:tcW w:w="1598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курсу</w:t>
            </w:r>
          </w:p>
        </w:tc>
        <w:tc>
          <w:tcPr>
            <w:tcW w:w="8081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Вибіркова компонента </w:t>
            </w:r>
          </w:p>
        </w:tc>
      </w:tr>
      <w:tr w:rsidR="00D64E5C">
        <w:tc>
          <w:tcPr>
            <w:tcW w:w="1598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8081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Перший (бакалаврський) рівень освіти</w:t>
            </w:r>
          </w:p>
        </w:tc>
      </w:tr>
      <w:tr w:rsidR="00D64E5C">
        <w:tc>
          <w:tcPr>
            <w:tcW w:w="1598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кредитів/годин</w:t>
            </w:r>
          </w:p>
        </w:tc>
        <w:tc>
          <w:tcPr>
            <w:tcW w:w="8081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3кредити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90 годин</w:t>
            </w:r>
          </w:p>
        </w:tc>
      </w:tr>
      <w:tr w:rsidR="00D64E5C">
        <w:tc>
          <w:tcPr>
            <w:tcW w:w="1598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8081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 семестр</w:t>
            </w:r>
          </w:p>
        </w:tc>
      </w:tr>
      <w:tr w:rsidR="00D64E5C">
        <w:tc>
          <w:tcPr>
            <w:tcW w:w="1598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8081" w:type="dxa"/>
          </w:tcPr>
          <w:p w:rsidR="00D64E5C" w:rsidRDefault="0098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 Бабічев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Sergii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Babichev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доктор технічних наук, професор кафедри</w:t>
            </w:r>
          </w:p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proofErr w:type="spellStart"/>
              <w:r>
                <w:rPr>
                  <w:rFonts w:ascii="Arial" w:eastAsia="Arial" w:hAnsi="Arial" w:cs="Arial"/>
                  <w:color w:val="0000FF"/>
                  <w:sz w:val="28"/>
                  <w:szCs w:val="28"/>
                  <w:highlight w:val="white"/>
                  <w:u w:val="single"/>
                </w:rPr>
                <w:t>https</w:t>
              </w:r>
              <w:proofErr w:type="spellEnd"/>
              <w:r>
                <w:rPr>
                  <w:rFonts w:ascii="Arial" w:eastAsia="Arial" w:hAnsi="Arial" w:cs="Arial"/>
                  <w:color w:val="0000FF"/>
                  <w:sz w:val="28"/>
                  <w:szCs w:val="28"/>
                  <w:highlight w:val="white"/>
                  <w:u w:val="single"/>
                </w:rPr>
                <w:t>://</w:t>
              </w:r>
              <w:proofErr w:type="spellStart"/>
              <w:r>
                <w:rPr>
                  <w:rFonts w:ascii="Arial" w:eastAsia="Arial" w:hAnsi="Arial" w:cs="Arial"/>
                  <w:color w:val="0000FF"/>
                  <w:sz w:val="28"/>
                  <w:szCs w:val="28"/>
                  <w:highlight w:val="white"/>
                  <w:u w:val="single"/>
                </w:rPr>
                <w:t>orcid.org</w:t>
              </w:r>
              <w:proofErr w:type="spellEnd"/>
              <w:r>
                <w:rPr>
                  <w:rFonts w:ascii="Arial" w:eastAsia="Arial" w:hAnsi="Arial" w:cs="Arial"/>
                  <w:color w:val="0000FF"/>
                  <w:sz w:val="28"/>
                  <w:szCs w:val="28"/>
                  <w:highlight w:val="white"/>
                  <w:u w:val="single"/>
                </w:rPr>
                <w:t>/0000-0001-6797-1467</w:t>
              </w:r>
            </w:hyperlink>
          </w:p>
        </w:tc>
      </w:tr>
      <w:tr w:rsidR="00D64E5C">
        <w:tc>
          <w:tcPr>
            <w:tcW w:w="1598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Посилання на сайт</w:t>
            </w:r>
          </w:p>
        </w:tc>
        <w:tc>
          <w:tcPr>
            <w:tcW w:w="8081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color w:val="0000FF"/>
                  <w:sz w:val="28"/>
                  <w:szCs w:val="28"/>
                  <w:u w:val="single"/>
                </w:rPr>
                <w:t>http://www.kspu.edu/About/Faculty/FPhysMathemInformatics/ChairPhysics/ScienceWork.aspx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4E5C">
        <w:tc>
          <w:tcPr>
            <w:tcW w:w="1598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Контактний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081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(095)9313022</w:t>
            </w:r>
          </w:p>
        </w:tc>
      </w:tr>
      <w:tr w:rsidR="00D64E5C">
        <w:tc>
          <w:tcPr>
            <w:tcW w:w="1598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викладача</w:t>
            </w:r>
          </w:p>
        </w:tc>
        <w:tc>
          <w:tcPr>
            <w:tcW w:w="8081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proofErr w:type="spellStart"/>
              <w:r>
                <w:rPr>
                  <w:color w:val="0000FF"/>
                  <w:sz w:val="28"/>
                  <w:szCs w:val="28"/>
                  <w:u w:val="single"/>
                </w:rPr>
                <w:t>sergii.babi</w:t>
              </w:r>
              <w:r>
                <w:rPr>
                  <w:color w:val="0000FF"/>
                  <w:sz w:val="28"/>
                  <w:szCs w:val="28"/>
                  <w:u w:val="single"/>
                </w:rPr>
                <w:t>chev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@ujep.cz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4E5C">
        <w:tc>
          <w:tcPr>
            <w:tcW w:w="1598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8081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призначеним часом</w:t>
            </w:r>
          </w:p>
        </w:tc>
      </w:tr>
      <w:tr w:rsidR="00D64E5C">
        <w:tc>
          <w:tcPr>
            <w:tcW w:w="1598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Методи викладання</w:t>
            </w:r>
          </w:p>
        </w:tc>
        <w:tc>
          <w:tcPr>
            <w:tcW w:w="8081" w:type="dxa"/>
          </w:tcPr>
          <w:p w:rsidR="00D64E5C" w:rsidRDefault="0098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лекційні заняття, лабораторні роботи, презентації, тестові завдання, індивідуальні завдання</w:t>
            </w:r>
          </w:p>
        </w:tc>
      </w:tr>
      <w:tr w:rsidR="00D64E5C">
        <w:tc>
          <w:tcPr>
            <w:tcW w:w="1598" w:type="dxa"/>
          </w:tcPr>
          <w:p w:rsidR="00D64E5C" w:rsidRDefault="00985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 контролю</w:t>
            </w:r>
          </w:p>
        </w:tc>
        <w:tc>
          <w:tcPr>
            <w:tcW w:w="8081" w:type="dxa"/>
          </w:tcPr>
          <w:p w:rsidR="00D64E5C" w:rsidRDefault="0098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</w:tbl>
    <w:p w:rsidR="00D64E5C" w:rsidRDefault="00D64E5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D64E5C" w:rsidRDefault="009852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Анотація дисципліни: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дисципліна включає теми, пов’язані з будовою, основними фізичними принципами дії та практичним використанням напівпровідникових приладів і електронних пристроїв, складених на їх основі. Вивчення тем курсу дозволить майбутнім вчителям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ізики та інформатики отримати знання про практичне використання досягнень сучасної фізики, електроніки, математики та інформатики, яке знаходить своє матеріальне вираження у вигляді безперервно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вдосконалюючихся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електронних пристроїв, які все глибше проника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ють в усі галузі інтелектуальної та виробничої діяльності людства.</w:t>
      </w:r>
    </w:p>
    <w:p w:rsidR="00D64E5C" w:rsidRDefault="00D64E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64E5C" w:rsidRDefault="009852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Мета та завдання дисципліни: </w:t>
      </w:r>
    </w:p>
    <w:p w:rsidR="00D64E5C" w:rsidRDefault="009852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Мета дисципліни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глибоке ознайомлення студентів із  будовою, основними фізичними принципами дії та практичним використанням напівпровідникових приладів і електронних пристроїв, складених на їх основі.</w:t>
      </w:r>
    </w:p>
    <w:p w:rsidR="00D64E5C" w:rsidRDefault="009852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повинен дати майбутнім вчителям фізики та інформатики знання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практичне використання досягнень сучасної фізики, електроніки, математики та інформатики, яке знаходить своє матеріальне вираження у вигляді безперервно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вдосконалюючихся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електронних пристроїв, які все глибше проникають в усі галузі інтелектуальної та вироб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ничої діяльності людства. 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Оволодіння матеріалом курсу має не тільки самостійне значення для формування майбутнього фахівця, а і впорядковує між предметні зв’язки фізики, інформатики та математичних дисциплін, надає вчителю багатий матеріал по практичному </w:t>
      </w:r>
      <w:r>
        <w:rPr>
          <w:rFonts w:ascii="Times New Roman" w:eastAsia="Times New Roman" w:hAnsi="Times New Roman" w:cs="Times New Roman"/>
          <w:sz w:val="28"/>
          <w:szCs w:val="28"/>
        </w:rPr>
        <w:t>використанню досягнень науки у повсякденному житті.</w:t>
      </w:r>
    </w:p>
    <w:p w:rsidR="00D64E5C" w:rsidRDefault="009852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Завдання:</w:t>
      </w:r>
    </w:p>
    <w:p w:rsidR="00D64E5C" w:rsidRDefault="009852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Оволодіння курсом сприятиме забезпеченню належного рівня викладання у школі фізики, інформатики та факультативних курсів; керівництву технічною творчістю учнів; технічно грамотній експлуатації та обслуговуванню шкільного електронного обладнання, включаючи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комп’ютерну техніку, подальшій самоосвіті вчителя в галузі електроніки та комп’ютерної техніки.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Після вивчення даного курсу студент повинен знати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Принципи дії та особливості будови типових сучасних напівпровідникових приладів.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Принципи обробки аналогови</w:t>
      </w:r>
      <w:r>
        <w:rPr>
          <w:rFonts w:ascii="Times New Roman" w:eastAsia="Times New Roman" w:hAnsi="Times New Roman" w:cs="Times New Roman"/>
          <w:sz w:val="28"/>
          <w:szCs w:val="28"/>
        </w:rPr>
        <w:t>х сигналів у підсилювачах та інших, нелінійних пристроях.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Основні властивості та практичне застосування операційних підсилювачів</w:t>
      </w:r>
    </w:p>
    <w:p w:rsidR="00D64E5C" w:rsidRDefault="009852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 принципи дії та будову генераторів гармонічних та негармонічних коливань різних частот та форми.</w:t>
      </w:r>
    </w:p>
    <w:p w:rsidR="00D64E5C" w:rsidRDefault="009852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Після вивчення даного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 студент повинен вміти:</w:t>
      </w:r>
    </w:p>
    <w:p w:rsidR="00D64E5C" w:rsidRDefault="009852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організовувати роботу фізичного кабінету та технічних гуртків;</w:t>
      </w:r>
    </w:p>
    <w:p w:rsidR="00D64E5C" w:rsidRDefault="009852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забезпечувати виконання вимог охорони праці та техніки безпеки; </w:t>
      </w:r>
    </w:p>
    <w:p w:rsidR="00D64E5C" w:rsidRDefault="0098520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проектувати та виготовляти нескладні електронні пристрої, включаючи периферійні пристрої для узгодж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іншими електронними приладами.</w:t>
      </w:r>
    </w:p>
    <w:p w:rsidR="00D64E5C" w:rsidRDefault="009852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Програмні компетентності та результати навчання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Здатність розв’язувати складні спеціалізовані задачі та практичні проблеми в галузі електроенергетики, електротехніки та електромеханіки, що передбачає застосування теорій та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методів освітніх наук та фізики і характеризується комплексністю та невизначен</w:t>
      </w:r>
      <w:r>
        <w:rPr>
          <w:rFonts w:ascii="Times New Roman" w:eastAsia="Times New Roman" w:hAnsi="Times New Roman" w:cs="Times New Roman"/>
          <w:sz w:val="28"/>
          <w:szCs w:val="28"/>
        </w:rPr>
        <w:t>істю педагогічних умов організації освітнього процесу в закладах загальної середньої освіти за рівнями «базова середня освіта» та «профільна середня освіта», професійно-технічних та закладах вищої освіти.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ЗК1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Знання та розуміння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редметної області та специфіки професійної діяльності. 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ЗК2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до пошуку інформації з різних джерел, її аналізу, оброблення, зберігання та передавання.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ЗК3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застосовувати набуті знання в практичних ситуаціях.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ЗК4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вчитися і овол</w:t>
      </w:r>
      <w:r>
        <w:rPr>
          <w:rFonts w:ascii="Times New Roman" w:eastAsia="Times New Roman" w:hAnsi="Times New Roman" w:cs="Times New Roman"/>
          <w:sz w:val="28"/>
          <w:szCs w:val="28"/>
        </w:rPr>
        <w:t>одівати новітніми знаннями.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ЗК5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Здатність  до  абстрактного,  аналітичного,  творчого  та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критичного мислення, а також до генерування ідей.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Фахові компетентності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ФК1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Здатність вирішувати комплексні спеціалізовані задачі і практичні проблеми, пов’язані </w:t>
      </w:r>
      <w:r>
        <w:rPr>
          <w:rFonts w:ascii="Times New Roman" w:eastAsia="Times New Roman" w:hAnsi="Times New Roman" w:cs="Times New Roman"/>
          <w:sz w:val="28"/>
          <w:szCs w:val="28"/>
        </w:rPr>
        <w:t>з проблемами метрології, електричних вимірювань, роботою пристроїв автоматичного керування, релейного захисту та автоматики.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ФК3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Здатність використовувати теоретичні знання й практичні навички для оволодіння основами теорії і методів фізичних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досліджень.Ф</w:t>
      </w:r>
      <w:r>
        <w:rPr>
          <w:rFonts w:ascii="Times New Roman" w:eastAsia="Times New Roman" w:hAnsi="Times New Roman" w:cs="Times New Roman"/>
          <w:sz w:val="28"/>
          <w:szCs w:val="28"/>
        </w:rPr>
        <w:t>К3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Здатність управляти інформаційними ресурсами, інформаційними системами та цифровими сервісами.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ФК7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Здатність  формувати  в  учнів  і  студентів  предметні компетентності.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ФК12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до організації і проведення позакласної та позашкільної роботи </w:t>
      </w:r>
      <w:r>
        <w:rPr>
          <w:rFonts w:ascii="Times New Roman" w:eastAsia="Times New Roman" w:hAnsi="Times New Roman" w:cs="Times New Roman"/>
          <w:sz w:val="28"/>
          <w:szCs w:val="28"/>
        </w:rPr>
        <w:t>з фізики у закладах загальної середньої освіти, професійно-технічних та закладах вищої освіти.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ФК13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Здатність організовувати роботу відповідно до вимог безпеки життєдіяльності .й охорони праці в межах функціональних обов’язків вчителя та викладача фізики.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навчання: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ПРЗ2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Знає загальні питання методики навчання фізики, методики фізичного експерименту, методики вивчення окремих тем шкільного, загального, теоретичного курсів фізики.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ПРЗ4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Використовує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-профільовані знання в галу</w:t>
      </w:r>
      <w:r>
        <w:rPr>
          <w:rFonts w:ascii="Times New Roman" w:eastAsia="Times New Roman" w:hAnsi="Times New Roman" w:cs="Times New Roman"/>
          <w:sz w:val="28"/>
          <w:szCs w:val="28"/>
        </w:rPr>
        <w:t>зі математики та математичної статистики для статистичної обробки експериментальних даних і математичного моделювання фізичних явищ і процесів.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ПРЗ7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Знає зміст, форми та методи організації різних видів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позааудиторної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 студентів з фізики.</w:t>
      </w:r>
    </w:p>
    <w:p w:rsidR="00D64E5C" w:rsidRDefault="0098520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ПРЗ8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Знає  основи  безпеки  життєдіяльності,  безпечного використання обладнання кабінету та лабораторій фізики.</w:t>
      </w:r>
    </w:p>
    <w:p w:rsidR="00D64E5C" w:rsidRDefault="00D64E5C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4E5C" w:rsidRDefault="009852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курсу</w:t>
      </w:r>
    </w:p>
    <w:tbl>
      <w:tblPr>
        <w:tblStyle w:val="ad"/>
        <w:tblW w:w="895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1502"/>
        <w:gridCol w:w="2481"/>
        <w:gridCol w:w="2381"/>
      </w:tblGrid>
      <w:tr w:rsidR="00D64E5C">
        <w:tc>
          <w:tcPr>
            <w:tcW w:w="2595" w:type="dxa"/>
          </w:tcPr>
          <w:p w:rsidR="00D64E5C" w:rsidRDefault="0098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 кредитів/годин</w:t>
            </w:r>
          </w:p>
        </w:tc>
        <w:tc>
          <w:tcPr>
            <w:tcW w:w="1502" w:type="dxa"/>
          </w:tcPr>
          <w:p w:rsidR="00D64E5C" w:rsidRDefault="0098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Лекції (год.)</w:t>
            </w:r>
          </w:p>
        </w:tc>
        <w:tc>
          <w:tcPr>
            <w:tcW w:w="2481" w:type="dxa"/>
          </w:tcPr>
          <w:p w:rsidR="00D64E5C" w:rsidRDefault="0098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Лабораторні заняття (год.)</w:t>
            </w:r>
          </w:p>
        </w:tc>
        <w:tc>
          <w:tcPr>
            <w:tcW w:w="2381" w:type="dxa"/>
          </w:tcPr>
          <w:p w:rsidR="00D64E5C" w:rsidRDefault="0098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Самостійна робота (год.)</w:t>
            </w:r>
          </w:p>
        </w:tc>
      </w:tr>
      <w:tr w:rsidR="00D64E5C">
        <w:tc>
          <w:tcPr>
            <w:tcW w:w="2595" w:type="dxa"/>
          </w:tcPr>
          <w:p w:rsidR="00D64E5C" w:rsidRDefault="0098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кредитів / 90 годин</w:t>
            </w:r>
          </w:p>
        </w:tc>
        <w:tc>
          <w:tcPr>
            <w:tcW w:w="1502" w:type="dxa"/>
          </w:tcPr>
          <w:p w:rsidR="00D64E5C" w:rsidRDefault="0098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81" w:type="dxa"/>
          </w:tcPr>
          <w:p w:rsidR="00D64E5C" w:rsidRDefault="0098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1" w:type="dxa"/>
          </w:tcPr>
          <w:p w:rsidR="00D64E5C" w:rsidRDefault="00985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D64E5C" w:rsidRDefault="00D64E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64E5C" w:rsidRDefault="009852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забезпечення/обладнання</w:t>
      </w:r>
    </w:p>
    <w:p w:rsidR="00D64E5C" w:rsidRDefault="009852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Лабораторія електроніки та електротехніки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418</w:t>
      </w:r>
    </w:p>
    <w:p w:rsidR="00D64E5C" w:rsidRDefault="009852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Програмне забезпечення:</w:t>
      </w:r>
    </w:p>
    <w:p w:rsidR="00D64E5C" w:rsidRDefault="009852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cran.rstudio.com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D64E5C" w:rsidRDefault="009852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www.rstudio.com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products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rstudio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download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D64E5C" w:rsidRDefault="009852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rseek.org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D64E5C" w:rsidRDefault="00D64E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64E5C" w:rsidRDefault="009852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Політика курсу</w:t>
      </w:r>
    </w:p>
    <w:p w:rsidR="00D64E5C" w:rsidRDefault="009852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4E5C" w:rsidRDefault="009852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Навіть окремий випадок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порушення академічної доброчесності є серйозним проступком, який може призвести до несправедливого перерозподілу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оцінок і, як наслідок, загального рейтингу студентів. Мінімальне покарання для студентів, яких спіймали на обмані чи плагіаті під час тесту чи підсумкового контролю, буде нульовим для цього завдання з послідовним зниженням підсумкової оцінки дисципліни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наймні на одну літеру. Будь ласка, поставтесь до цього питання серйозно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4E5C" w:rsidRDefault="00D64E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E5C" w:rsidRDefault="00D64E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E5C" w:rsidRDefault="00D64E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E5C" w:rsidRDefault="00D64E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64E5C" w:rsidRDefault="009852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</w:p>
    <w:p w:rsidR="00D64E5C" w:rsidRDefault="00985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Модуль 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Елементна база електроніки</w:t>
      </w:r>
    </w:p>
    <w:p w:rsidR="00D64E5C" w:rsidRDefault="009852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5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Основні етапи розвитку електроніки. Пасивні електрон. елементи.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Електричні кола в електроніці. (тиждень 1,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 год.,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 год.)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Лабораторная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работа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№4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ИССЛЕДОВАНИЕ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БИПОЛЯРНЫХ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ТРАНЗИСТОРОВ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D64E5C" w:rsidRDefault="009852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5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Власна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домішкова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провідність. Діоди. (тиждень 2,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- 2 год.,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- 2 год.)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Лабораторная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работа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№4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ИССЛЕДОВАНИЕ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БИП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ОЛЯРНЫХ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ТРАНЗИСТОРОВ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D64E5C" w:rsidRDefault="009852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5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Біполярні та польові транзистори. Тиристори. (тиждень 3,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- 2 год.,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Лабораторная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работа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№5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ИССЛЕДОВАНИЕ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ПОЛЕВЫХ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ТРАНЗИСТОРОВ</w:t>
      </w:r>
      <w:proofErr w:type="spellEnd"/>
    </w:p>
    <w:p w:rsidR="00D64E5C" w:rsidRDefault="00D64E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64E5C" w:rsidRDefault="00D64E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E5C" w:rsidRDefault="00985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 2. Підсилювачі та генератори електричних сигналів</w:t>
      </w:r>
    </w:p>
    <w:p w:rsidR="00D64E5C" w:rsidRDefault="009852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5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Аперіодичні підсилювачі. Види зворотного зв’язку у підсилювачах. (тиждень 4,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- 2 год.,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Лабораторная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№8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Апериодические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усилители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низкой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частоты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D64E5C" w:rsidRDefault="009852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5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Операційні підсилювачі. Застосування операційних підсилювачів. (тиждень 5,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- 2 год.,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Лабораторная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№6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ОПЕРАЦИОННЫЕ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УСИЛИТЕЛИ</w:t>
      </w:r>
      <w:proofErr w:type="spellEnd"/>
    </w:p>
    <w:p w:rsidR="00D64E5C" w:rsidRDefault="009852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5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Підсилювачі потужності. Генератори електричних коливань. (тиждень 6,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- 2 год.,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- 2 год.)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Лабораторная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работа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№7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Компенсационные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стабилизаторы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напряжения</w:t>
      </w:r>
      <w:proofErr w:type="spellEnd"/>
    </w:p>
    <w:p w:rsidR="00D64E5C" w:rsidRDefault="009852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5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Релаксаційні генератори. Компенсаційні стабілізатори. (тиждень 7,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- 2 год.,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- 2 год.)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Лабораторная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№7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Компенсационные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стабилизаторы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напряжения</w:t>
      </w:r>
      <w:proofErr w:type="spellEnd"/>
    </w:p>
    <w:p w:rsidR="00D64E5C" w:rsidRDefault="00D64E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E5C" w:rsidRDefault="00D64E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E5C" w:rsidRDefault="00D64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64E5C" w:rsidRDefault="00985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D64E5C" w:rsidRDefault="0098520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Назва та максимальна кількість балів за цей модуль</w:t>
      </w:r>
    </w:p>
    <w:p w:rsidR="00D64E5C" w:rsidRDefault="00985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(метод) контрольного заходу, критерії оцінювання та бали</w:t>
      </w:r>
    </w:p>
    <w:p w:rsidR="00D64E5C" w:rsidRDefault="009852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Лабораторні роботи – 30 балів (по 15 балів за 3 лабораторні роботи)</w:t>
      </w:r>
    </w:p>
    <w:p w:rsidR="00D64E5C" w:rsidRDefault="009852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 за перший модуль 1 – 15 балів</w:t>
      </w:r>
    </w:p>
    <w:p w:rsidR="00D64E5C" w:rsidRDefault="0098520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2. Назва та максимальна кількість балів за цей модуль</w:t>
      </w:r>
    </w:p>
    <w:p w:rsidR="00D64E5C" w:rsidRDefault="00985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(метод) контрольного заходу, критерії оцінювання та бали</w:t>
      </w:r>
    </w:p>
    <w:p w:rsidR="00D64E5C" w:rsidRDefault="009852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Лабораторні роботи – 30 балів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10 балів за 3 лабораторні роботи)</w:t>
      </w:r>
    </w:p>
    <w:p w:rsidR="00D64E5C" w:rsidRDefault="009852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Підсумковий тест за дисципліну – 25 балів</w:t>
      </w:r>
    </w:p>
    <w:p w:rsidR="00D64E5C" w:rsidRDefault="00985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Студенти можуть отримати до 10%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бонусних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балів за виконання індивідуальних завдань, підготовці презентації англомовної статті з тематики курсу, участь у конкурсах наукових роб</w:t>
      </w:r>
      <w:r>
        <w:rPr>
          <w:rFonts w:ascii="Times New Roman" w:eastAsia="Times New Roman" w:hAnsi="Times New Roman" w:cs="Times New Roman"/>
          <w:sz w:val="28"/>
          <w:szCs w:val="28"/>
        </w:rPr>
        <w:t>іт, предметних олімпіадах, конкурсах, тощо.</w:t>
      </w:r>
    </w:p>
    <w:p w:rsidR="00D64E5C" w:rsidRDefault="00D64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4E5C" w:rsidRDefault="009852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Список рекомендованих джерел (наскрізна нумерація)</w:t>
      </w:r>
    </w:p>
    <w:p w:rsidR="00D64E5C" w:rsidRDefault="0098520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Основні</w:t>
      </w:r>
    </w:p>
    <w:p w:rsidR="00D64E5C" w:rsidRDefault="00985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А.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схемотехника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практикум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С.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ред. Н.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— М.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2017. — 208 с.</w:t>
      </w:r>
    </w:p>
    <w:p w:rsidR="00D64E5C" w:rsidRDefault="00985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Миловзоров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О.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Миловзоров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,. И.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5-е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2015. –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407c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4E5C" w:rsidRDefault="00985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Миловзоров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 В.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Миловзоров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6-е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М.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2017. — 344 с.</w:t>
      </w:r>
    </w:p>
    <w:p w:rsidR="00D64E5C" w:rsidRDefault="00985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Болох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Данько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Основи електроніки та мікропроцесорної техніки. Навчальний посібник, 2011. — 257 с.</w:t>
      </w:r>
    </w:p>
    <w:p w:rsidR="00D64E5C" w:rsidRDefault="0098520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Додаткові</w:t>
      </w:r>
    </w:p>
    <w:p w:rsidR="00D64E5C" w:rsidRDefault="0098520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Ю. Е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Фролкин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микроэлектроники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1991. – 287 с.</w:t>
      </w:r>
    </w:p>
    <w:p w:rsidR="00D64E5C" w:rsidRDefault="0098520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Краснопрошина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Скаржепа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Кравец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микросхемотехника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 – К.: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школа, 1989.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300с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4E5C" w:rsidRDefault="0098520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Краснопрошина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аржепа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Кравец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микросхемотехника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школа, 1989. – 300 с.</w:t>
      </w:r>
    </w:p>
    <w:p w:rsidR="00D64E5C" w:rsidRDefault="00D64E5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64E5C" w:rsidRDefault="0098520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Інтернет-ресурси</w:t>
      </w:r>
    </w:p>
    <w:p w:rsidR="00D64E5C" w:rsidRDefault="00985208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asm.udm.ru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E5C" w:rsidRDefault="00985208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www.viasoft.ru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html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docs.html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E5C" w:rsidRDefault="00985208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www.emanual.ru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E5C" w:rsidRDefault="00985208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fasm.metro-nt.pl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E5C" w:rsidRDefault="00985208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happytown.ru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prog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system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index.html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E5C" w:rsidRDefault="00985208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asmfanat.narod.ru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Index.htm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E5C" w:rsidRDefault="00985208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www.geocities.com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plinks21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Assem.htm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E5C" w:rsidRDefault="00985208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hyperlink r:id="rId18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sasm.narod.ru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docs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pm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pm_main.htm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E5C" w:rsidRDefault="00985208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home.od.ua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blackw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WinAsm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winasmbooks.html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E5C" w:rsidRDefault="00985208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conspect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.narod.ru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index.html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E5C" w:rsidRDefault="00985208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mutilin.boom.ru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vmk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lectures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lectures.html</w:t>
        </w:r>
        <w:proofErr w:type="spellEnd"/>
      </w:hyperlink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D64E5C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482"/>
    <w:multiLevelType w:val="multilevel"/>
    <w:tmpl w:val="BFDCE06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F66173"/>
    <w:multiLevelType w:val="multilevel"/>
    <w:tmpl w:val="769CA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2593"/>
    <w:multiLevelType w:val="multilevel"/>
    <w:tmpl w:val="5EE4B97C"/>
    <w:lvl w:ilvl="0">
      <w:start w:val="1"/>
      <w:numFmt w:val="decimal"/>
      <w:lvlText w:val="%1."/>
      <w:lvlJc w:val="left"/>
      <w:pPr>
        <w:ind w:left="2322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354308B4"/>
    <w:multiLevelType w:val="multilevel"/>
    <w:tmpl w:val="18FA77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F522F2B"/>
    <w:multiLevelType w:val="multilevel"/>
    <w:tmpl w:val="7B9EED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4E5C"/>
    <w:rsid w:val="00680B35"/>
    <w:rsid w:val="00985208"/>
    <w:rsid w:val="00D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paragraph" w:customStyle="1" w:styleId="a9">
    <w:name w:val="Знак"/>
    <w:basedOn w:val="a"/>
    <w:rsid w:val="00DC10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C10C1"/>
    <w:rPr>
      <w:color w:val="605E5C"/>
      <w:shd w:val="clear" w:color="auto" w:fill="E1DFDD"/>
    </w:rPr>
  </w:style>
  <w:style w:type="paragraph" w:styleId="20">
    <w:name w:val="Body Text Indent 2"/>
    <w:basedOn w:val="a"/>
    <w:link w:val="21"/>
    <w:uiPriority w:val="99"/>
    <w:unhideWhenUsed/>
    <w:rsid w:val="00BF1F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BF1FAA"/>
    <w:rPr>
      <w:sz w:val="22"/>
      <w:szCs w:val="22"/>
      <w:lang w:eastAsia="en-US"/>
    </w:rPr>
  </w:style>
  <w:style w:type="paragraph" w:styleId="30">
    <w:name w:val="Body Text 3"/>
    <w:basedOn w:val="a"/>
    <w:link w:val="31"/>
    <w:uiPriority w:val="99"/>
    <w:semiHidden/>
    <w:unhideWhenUsed/>
    <w:rsid w:val="00AA0CC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A0CC1"/>
    <w:rPr>
      <w:sz w:val="16"/>
      <w:szCs w:val="16"/>
      <w:lang w:eastAsia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paragraph" w:customStyle="1" w:styleId="a9">
    <w:name w:val="Знак"/>
    <w:basedOn w:val="a"/>
    <w:rsid w:val="00DC10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C10C1"/>
    <w:rPr>
      <w:color w:val="605E5C"/>
      <w:shd w:val="clear" w:color="auto" w:fill="E1DFDD"/>
    </w:rPr>
  </w:style>
  <w:style w:type="paragraph" w:styleId="20">
    <w:name w:val="Body Text Indent 2"/>
    <w:basedOn w:val="a"/>
    <w:link w:val="21"/>
    <w:uiPriority w:val="99"/>
    <w:unhideWhenUsed/>
    <w:rsid w:val="00BF1F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BF1FAA"/>
    <w:rPr>
      <w:sz w:val="22"/>
      <w:szCs w:val="22"/>
      <w:lang w:eastAsia="en-US"/>
    </w:rPr>
  </w:style>
  <w:style w:type="paragraph" w:styleId="30">
    <w:name w:val="Body Text 3"/>
    <w:basedOn w:val="a"/>
    <w:link w:val="31"/>
    <w:uiPriority w:val="99"/>
    <w:semiHidden/>
    <w:unhideWhenUsed/>
    <w:rsid w:val="00AA0CC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A0CC1"/>
    <w:rPr>
      <w:sz w:val="16"/>
      <w:szCs w:val="16"/>
      <w:lang w:eastAsia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Faculty/FPhysMathemInformatics/ChairPhysics/ScienceWork.aspx" TargetMode="External"/><Relationship Id="rId13" Type="http://schemas.openxmlformats.org/officeDocument/2006/relationships/hyperlink" Target="http://www.emanual.ru/" TargetMode="External"/><Relationship Id="rId18" Type="http://schemas.openxmlformats.org/officeDocument/2006/relationships/hyperlink" Target="http://sasm.narod.ru/docs/pm/pm_main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mutilin.boom.ru/vmk/lectures/lectures.html" TargetMode="External"/><Relationship Id="rId7" Type="http://schemas.openxmlformats.org/officeDocument/2006/relationships/hyperlink" Target="https://orcid.org/0000-0001-6797-1467" TargetMode="External"/><Relationship Id="rId12" Type="http://schemas.openxmlformats.org/officeDocument/2006/relationships/hyperlink" Target="http://www.viasoft.ru/html/docs.html" TargetMode="External"/><Relationship Id="rId17" Type="http://schemas.openxmlformats.org/officeDocument/2006/relationships/hyperlink" Target="http://www.geocities.com/plinks21/Assem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smfanat.narod.ru/Index.htm" TargetMode="External"/><Relationship Id="rId20" Type="http://schemas.openxmlformats.org/officeDocument/2006/relationships/hyperlink" Target="http://conspect.narod.ru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m.ud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appytown.ru/prog/system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rgii.babichev@ujep.cz" TargetMode="External"/><Relationship Id="rId19" Type="http://schemas.openxmlformats.org/officeDocument/2006/relationships/hyperlink" Target="http://home.od.ua/blackw/WinAsm/winasmbook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gii.babichev@ujep.cz" TargetMode="External"/><Relationship Id="rId14" Type="http://schemas.openxmlformats.org/officeDocument/2006/relationships/hyperlink" Target="http://fasm.metro-nt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XD2bx+2dFUPsSQl/eHzV7QTbzA==">AMUW2mXUl7Vr/gQKwYYkvTXKdbG/GNE8YHcRbmk4SFmT6dWVgZXvTIOCTg7HybtXzXZmC8Cbj9Z1YavAyJF8+R1EkmYL5H/04lnFw6usfRpqyCl55HNgGSqLE68UdRCjpww+ZPfOqU16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comp</cp:lastModifiedBy>
  <cp:revision>2</cp:revision>
  <dcterms:created xsi:type="dcterms:W3CDTF">2020-09-15T09:08:00Z</dcterms:created>
  <dcterms:modified xsi:type="dcterms:W3CDTF">2020-11-06T12:36:00Z</dcterms:modified>
</cp:coreProperties>
</file>